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54"/>
        <w:ind w:left="0" w:right="6"/>
        <w:textAlignment w:val="auto"/>
        <w:rPr>
          <w:rFonts w:hint="default" w:ascii="仿宋_GB2312" w:eastAsia="仿宋_GB2312"/>
          <w:color w:val="000000"/>
          <w:spacing w:val="0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24"/>
          <w:lang w:eastAsia="zh-CN"/>
        </w:rPr>
        <w:t>桂卫医发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24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2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24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24"/>
          <w:lang w:val="en-US" w:eastAsia="zh-CN"/>
        </w:rPr>
        <w:t>18号</w:t>
      </w:r>
    </w:p>
    <w:p>
      <w:pPr>
        <w:pStyle w:val="3"/>
        <w:kinsoku w:val="0"/>
        <w:overflowPunct w:val="0"/>
        <w:rPr>
          <w:rFonts w:hint="eastAsia" w:ascii="仿宋_GB2312" w:eastAsia="仿宋_GB2312"/>
          <w:color w:val="ED1C24"/>
          <w:spacing w:val="80"/>
          <w:sz w:val="32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pacing w:val="11"/>
          <w:sz w:val="44"/>
          <w:szCs w:val="44"/>
        </w:rPr>
        <w:t>自治区卫生健康委关于</w:t>
      </w:r>
      <w:r>
        <w:rPr>
          <w:rFonts w:hint="eastAsia" w:ascii="方正小标宋简体" w:eastAsia="方正小标宋简体"/>
          <w:spacing w:val="11"/>
          <w:sz w:val="44"/>
          <w:szCs w:val="44"/>
          <w:lang w:eastAsia="zh-CN"/>
        </w:rPr>
        <w:t>确认河池市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11"/>
          <w:sz w:val="44"/>
          <w:szCs w:val="44"/>
          <w:lang w:eastAsia="zh-CN"/>
        </w:rPr>
        <w:t>第一人民医院</w:t>
      </w:r>
      <w:r>
        <w:rPr>
          <w:rFonts w:hint="eastAsia" w:ascii="方正小标宋简体" w:eastAsia="方正小标宋简体"/>
          <w:sz w:val="44"/>
          <w:szCs w:val="44"/>
        </w:rPr>
        <w:t>为三级甲等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综合</w:t>
      </w:r>
      <w:r>
        <w:rPr>
          <w:rFonts w:hint="eastAsia" w:ascii="方正小标宋简体" w:eastAsia="方正小标宋简体"/>
          <w:sz w:val="44"/>
          <w:szCs w:val="44"/>
        </w:rPr>
        <w:t>医院的通知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各市卫生健康委，区直各医疗机构：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河池市第一人民医院</w:t>
      </w:r>
      <w:r>
        <w:rPr>
          <w:rFonts w:hint="eastAsia" w:ascii="仿宋_GB2312" w:eastAsia="仿宋_GB2312"/>
          <w:sz w:val="32"/>
          <w:szCs w:val="32"/>
        </w:rPr>
        <w:t>申请，依</w:t>
      </w:r>
      <w:r>
        <w:rPr>
          <w:rFonts w:hint="eastAsia" w:ascii="仿宋_GB2312" w:eastAsia="仿宋_GB2312"/>
          <w:color w:val="auto"/>
          <w:sz w:val="32"/>
          <w:szCs w:val="32"/>
        </w:rPr>
        <w:t>照《医院评审暂行办法》</w:t>
      </w:r>
      <w:r>
        <w:rPr>
          <w:rFonts w:hint="eastAsia" w:ascii="仿宋_GB2312" w:eastAsia="仿宋_GB2312"/>
          <w:sz w:val="32"/>
          <w:szCs w:val="32"/>
        </w:rPr>
        <w:t>《三级医院评审标准（20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年版）》，我委委托自治区医疗管理服务指导中心组织专家对</w:t>
      </w:r>
      <w:r>
        <w:rPr>
          <w:rFonts w:hint="eastAsia" w:ascii="仿宋_GB2312" w:eastAsia="仿宋_GB2312"/>
          <w:sz w:val="32"/>
          <w:szCs w:val="32"/>
          <w:lang w:eastAsia="zh-CN"/>
        </w:rPr>
        <w:t>河池市第一人民医院</w:t>
      </w:r>
      <w:r>
        <w:rPr>
          <w:rFonts w:hint="eastAsia" w:ascii="仿宋_GB2312" w:eastAsia="仿宋_GB2312"/>
          <w:sz w:val="32"/>
          <w:szCs w:val="32"/>
        </w:rPr>
        <w:t>进行了现场评审，并对其评审结论进行了为期一周的公示。根据评审和公示结果，经2022年8月24日自治区卫生健康委2022年第7次委主任会审议通过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确认</w:t>
      </w:r>
      <w:r>
        <w:rPr>
          <w:rFonts w:hint="eastAsia" w:ascii="仿宋_GB2312" w:eastAsia="仿宋_GB2312"/>
          <w:sz w:val="32"/>
          <w:szCs w:val="32"/>
          <w:lang w:eastAsia="zh-CN"/>
        </w:rPr>
        <w:t>河池市第一人民医院为三级甲等综合</w:t>
      </w:r>
      <w:r>
        <w:rPr>
          <w:rFonts w:hint="eastAsia" w:ascii="仿宋_GB2312" w:eastAsia="仿宋_GB2312"/>
          <w:sz w:val="32"/>
          <w:szCs w:val="32"/>
        </w:rPr>
        <w:t>医院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请各医院切实加强自身内涵建设，提高医院管理的科学化、规范化和标准化水平，努力实现“三个转变、三个提高”，推动医院高质量发展，更好地满足我区人民群众医疗服务需求。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100"/>
        </w:tabs>
        <w:adjustRightInd w:val="0"/>
        <w:snapToGrid w:val="0"/>
        <w:spacing w:line="560" w:lineRule="exact"/>
        <w:ind w:left="4960" w:hanging="4960" w:hangingChars="155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广西壮族自治区卫生健康委员会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07FC568F"/>
    <w:rsid w:val="07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3">
    <w:name w:val="Title"/>
    <w:unhideWhenUsed/>
    <w:qFormat/>
    <w:uiPriority w:val="99"/>
    <w:pPr>
      <w:widowControl w:val="0"/>
      <w:spacing w:before="194"/>
      <w:ind w:left="2" w:right="3"/>
      <w:jc w:val="center"/>
    </w:pPr>
    <w:rPr>
      <w:rFonts w:hint="default" w:ascii="Times New Roman" w:hAnsi="Times New Roman" w:eastAsia="宋体" w:cs="Times New Roman"/>
      <w:kern w:val="2"/>
      <w:sz w:val="8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2022-09-15T02:24:00Z</dcterms:created>
  <dc:creator>worker</dc:creator>
  <cp:lastModifiedBy>worker</cp:lastModifiedBy>
  <dcterms:modified xsi:type="dcterms:W3CDTF">2022-09-15T02:25:19Z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EBD661FF2C7A455C8776350C0B13F853</vt:lpwstr>
  </property>
</Properties>
</file>